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5" w:rsidRDefault="00F46AB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EASTERN FLORIDA STATE COLLEGE</w:t>
      </w:r>
    </w:p>
    <w:p w:rsidR="00D67A25" w:rsidRDefault="00AF3FE7">
      <w:pPr>
        <w:jc w:val="center"/>
        <w:rPr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TITUSVILLE</w:t>
          </w:r>
        </w:smartTag>
      </w:smartTag>
      <w:r>
        <w:rPr>
          <w:b/>
          <w:bCs/>
          <w:sz w:val="22"/>
        </w:rPr>
        <w:t xml:space="preserve"> </w:t>
      </w:r>
      <w:r w:rsidR="00D67A25">
        <w:rPr>
          <w:b/>
          <w:bCs/>
          <w:sz w:val="22"/>
        </w:rPr>
        <w:t>CAMPUS</w:t>
      </w:r>
    </w:p>
    <w:p w:rsidR="005B115B" w:rsidRDefault="00F46AB5">
      <w:pPr>
        <w:jc w:val="center"/>
        <w:rPr>
          <w:b/>
          <w:bCs/>
          <w:sz w:val="22"/>
        </w:rPr>
      </w:pPr>
      <w:r>
        <w:rPr>
          <w:b/>
        </w:rPr>
        <w:t xml:space="preserve">Spring </w:t>
      </w:r>
      <w:r w:rsidR="00F31DB2">
        <w:rPr>
          <w:b/>
        </w:rPr>
        <w:t>2021</w:t>
      </w:r>
    </w:p>
    <w:p w:rsidR="00D67A25" w:rsidRDefault="00D67A25">
      <w:pPr>
        <w:rPr>
          <w:sz w:val="22"/>
        </w:rPr>
      </w:pPr>
    </w:p>
    <w:p w:rsidR="00654055" w:rsidRPr="00654055" w:rsidRDefault="00654055" w:rsidP="00C73579">
      <w:pPr>
        <w:pStyle w:val="Heading1"/>
        <w:rPr>
          <w:u w:val="single"/>
        </w:rPr>
      </w:pPr>
      <w:r w:rsidRPr="00654055">
        <w:rPr>
          <w:u w:val="single"/>
        </w:rPr>
        <w:t>WHERE AND WHEN</w:t>
      </w:r>
    </w:p>
    <w:p w:rsidR="00654055" w:rsidRDefault="00654055" w:rsidP="00C73579">
      <w:pPr>
        <w:pStyle w:val="Heading1"/>
      </w:pPr>
    </w:p>
    <w:p w:rsidR="005B115B" w:rsidRPr="005B115B" w:rsidRDefault="00D67A25" w:rsidP="00C73579">
      <w:pPr>
        <w:pStyle w:val="Heading1"/>
        <w:rPr>
          <w:b w:val="0"/>
        </w:rPr>
      </w:pPr>
      <w:r>
        <w:t>Class</w:t>
      </w:r>
      <w:r w:rsidR="006F5E0B">
        <w:tab/>
      </w:r>
      <w:r w:rsidR="006F5E0B">
        <w:tab/>
      </w:r>
      <w:r w:rsidR="006F5E0B">
        <w:tab/>
      </w:r>
      <w:r w:rsidR="005B115B" w:rsidRPr="005B115B">
        <w:rPr>
          <w:b w:val="0"/>
        </w:rPr>
        <w:t xml:space="preserve">Syllabus is for the following Communications I </w:t>
      </w:r>
      <w:r w:rsidR="00F46AB5">
        <w:rPr>
          <w:b w:val="0"/>
        </w:rPr>
        <w:t xml:space="preserve">Honors </w:t>
      </w:r>
      <w:r w:rsidR="005B115B" w:rsidRPr="005B115B">
        <w:rPr>
          <w:b w:val="0"/>
        </w:rPr>
        <w:t>course</w:t>
      </w:r>
    </w:p>
    <w:p w:rsidR="005B115B" w:rsidRPr="005B115B" w:rsidRDefault="005B115B" w:rsidP="00C73579">
      <w:pPr>
        <w:pStyle w:val="Heading1"/>
        <w:rPr>
          <w:b w:val="0"/>
        </w:rPr>
      </w:pPr>
      <w:r w:rsidRPr="005B115B">
        <w:rPr>
          <w:b w:val="0"/>
        </w:rPr>
        <w:tab/>
      </w:r>
      <w:r w:rsidRPr="005B115B">
        <w:rPr>
          <w:b w:val="0"/>
        </w:rPr>
        <w:tab/>
      </w:r>
      <w:r w:rsidRPr="005B115B">
        <w:rPr>
          <w:b w:val="0"/>
        </w:rPr>
        <w:tab/>
        <w:t>Credits</w:t>
      </w:r>
      <w:r w:rsidR="005F08D7">
        <w:rPr>
          <w:b w:val="0"/>
        </w:rPr>
        <w:t>:</w:t>
      </w:r>
      <w:r w:rsidRPr="005B115B">
        <w:rPr>
          <w:b w:val="0"/>
        </w:rPr>
        <w:t xml:space="preserve"> 3</w:t>
      </w:r>
      <w:r w:rsidR="00D67A25" w:rsidRPr="005B115B">
        <w:rPr>
          <w:b w:val="0"/>
        </w:rPr>
        <w:tab/>
      </w:r>
    </w:p>
    <w:p w:rsidR="005B115B" w:rsidRPr="005B115B" w:rsidRDefault="005B115B" w:rsidP="005B115B">
      <w:pPr>
        <w:pStyle w:val="Heading1"/>
        <w:rPr>
          <w:b w:val="0"/>
        </w:rPr>
      </w:pPr>
      <w:r w:rsidRPr="005B115B">
        <w:rPr>
          <w:b w:val="0"/>
        </w:rPr>
        <w:tab/>
      </w:r>
      <w:r w:rsidRPr="005B115B">
        <w:rPr>
          <w:b w:val="0"/>
        </w:rPr>
        <w:tab/>
      </w:r>
      <w:r w:rsidRPr="005B115B">
        <w:rPr>
          <w:b w:val="0"/>
        </w:rPr>
        <w:tab/>
      </w:r>
      <w:r>
        <w:rPr>
          <w:b w:val="0"/>
        </w:rPr>
        <w:t>Semester:</w:t>
      </w:r>
      <w:r w:rsidR="005F08D7">
        <w:rPr>
          <w:b w:val="0"/>
        </w:rPr>
        <w:t xml:space="preserve"> </w:t>
      </w:r>
      <w:r w:rsidR="00F31DB2">
        <w:rPr>
          <w:b w:val="0"/>
        </w:rPr>
        <w:t>(1 Jan. 2021 – 5 May 2021)</w:t>
      </w:r>
      <w:r w:rsidRPr="005B115B">
        <w:rPr>
          <w:b w:val="0"/>
        </w:rPr>
        <w:tab/>
      </w:r>
      <w:r w:rsidRPr="005B115B">
        <w:rPr>
          <w:b w:val="0"/>
        </w:rPr>
        <w:tab/>
      </w:r>
    </w:p>
    <w:p w:rsidR="005B115B" w:rsidRDefault="005B115B" w:rsidP="005B115B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92"/>
        <w:gridCol w:w="1800"/>
      </w:tblGrid>
      <w:tr w:rsidR="00112263" w:rsidRPr="00FF0830" w:rsidTr="00FF0830">
        <w:tc>
          <w:tcPr>
            <w:tcW w:w="2340" w:type="dxa"/>
            <w:shd w:val="clear" w:color="auto" w:fill="auto"/>
          </w:tcPr>
          <w:p w:rsidR="00112263" w:rsidRPr="00FF0830" w:rsidRDefault="00112263" w:rsidP="005D6B1C">
            <w:pPr>
              <w:rPr>
                <w:sz w:val="22"/>
                <w:szCs w:val="22"/>
              </w:rPr>
            </w:pPr>
            <w:r w:rsidRPr="00FF0830">
              <w:rPr>
                <w:sz w:val="22"/>
                <w:szCs w:val="22"/>
              </w:rPr>
              <w:t>Course</w:t>
            </w:r>
          </w:p>
        </w:tc>
        <w:tc>
          <w:tcPr>
            <w:tcW w:w="2592" w:type="dxa"/>
            <w:shd w:val="clear" w:color="auto" w:fill="auto"/>
          </w:tcPr>
          <w:p w:rsidR="00112263" w:rsidRPr="00FF0830" w:rsidRDefault="00112263" w:rsidP="005D6B1C">
            <w:pPr>
              <w:rPr>
                <w:sz w:val="22"/>
                <w:szCs w:val="22"/>
              </w:rPr>
            </w:pPr>
            <w:r w:rsidRPr="00FF0830">
              <w:rPr>
                <w:sz w:val="22"/>
                <w:szCs w:val="22"/>
              </w:rPr>
              <w:t>Day(s) and Time</w:t>
            </w:r>
          </w:p>
        </w:tc>
        <w:tc>
          <w:tcPr>
            <w:tcW w:w="1800" w:type="dxa"/>
            <w:shd w:val="clear" w:color="auto" w:fill="auto"/>
          </w:tcPr>
          <w:p w:rsidR="00112263" w:rsidRPr="00FF0830" w:rsidRDefault="00112263" w:rsidP="005D6B1C">
            <w:pPr>
              <w:rPr>
                <w:sz w:val="22"/>
                <w:szCs w:val="22"/>
              </w:rPr>
            </w:pPr>
            <w:r w:rsidRPr="00FF0830">
              <w:rPr>
                <w:sz w:val="22"/>
                <w:szCs w:val="22"/>
              </w:rPr>
              <w:t xml:space="preserve">Building /Room </w:t>
            </w:r>
          </w:p>
        </w:tc>
      </w:tr>
      <w:tr w:rsidR="006E25F7" w:rsidRPr="00FF0830" w:rsidTr="00FF0830">
        <w:tc>
          <w:tcPr>
            <w:tcW w:w="2340" w:type="dxa"/>
            <w:shd w:val="clear" w:color="auto" w:fill="auto"/>
          </w:tcPr>
          <w:p w:rsidR="006E25F7" w:rsidRPr="00FF0830" w:rsidRDefault="00F46AB5" w:rsidP="00F31DB2">
            <w:pPr>
              <w:rPr>
                <w:sz w:val="22"/>
                <w:szCs w:val="22"/>
              </w:rPr>
            </w:pPr>
            <w:r>
              <w:t>13</w:t>
            </w:r>
            <w:r w:rsidR="00F31DB2">
              <w:t>221</w:t>
            </w:r>
          </w:p>
        </w:tc>
        <w:tc>
          <w:tcPr>
            <w:tcW w:w="2592" w:type="dxa"/>
            <w:shd w:val="clear" w:color="auto" w:fill="auto"/>
          </w:tcPr>
          <w:p w:rsidR="006E25F7" w:rsidRPr="00FF0830" w:rsidRDefault="00F31DB2" w:rsidP="00F31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E25F7" w:rsidRPr="00FF0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46AB5">
              <w:t>:30</w:t>
            </w:r>
            <w:r w:rsidR="006E25F7">
              <w:t xml:space="preserve"> pm</w:t>
            </w:r>
            <w:r w:rsidR="006E25F7" w:rsidRPr="005509AF">
              <w:t xml:space="preserve"> - </w:t>
            </w:r>
            <w:r>
              <w:t>2</w:t>
            </w:r>
            <w:r w:rsidR="006E25F7" w:rsidRPr="005509AF">
              <w:t>:</w:t>
            </w:r>
            <w:r>
              <w:t>15</w:t>
            </w:r>
            <w:r w:rsidR="006E25F7" w:rsidRPr="005509AF">
              <w:t xml:space="preserve"> </w:t>
            </w:r>
            <w:r>
              <w:t>p</w:t>
            </w:r>
            <w:r w:rsidR="006E25F7" w:rsidRPr="005509AF">
              <w:t>m</w:t>
            </w:r>
          </w:p>
        </w:tc>
        <w:tc>
          <w:tcPr>
            <w:tcW w:w="1800" w:type="dxa"/>
            <w:shd w:val="clear" w:color="auto" w:fill="auto"/>
          </w:tcPr>
          <w:p w:rsidR="006E25F7" w:rsidRPr="00FF0830" w:rsidRDefault="006E25F7" w:rsidP="009165EE">
            <w:pPr>
              <w:rPr>
                <w:sz w:val="22"/>
                <w:szCs w:val="22"/>
              </w:rPr>
            </w:pPr>
            <w:r w:rsidRPr="00FF0830">
              <w:rPr>
                <w:sz w:val="22"/>
                <w:szCs w:val="22"/>
              </w:rPr>
              <w:t>T-1, 130</w:t>
            </w:r>
          </w:p>
        </w:tc>
      </w:tr>
    </w:tbl>
    <w:p w:rsidR="006E25F7" w:rsidRDefault="006E25F7" w:rsidP="00AF3FE7">
      <w:pPr>
        <w:tabs>
          <w:tab w:val="left" w:pos="2160"/>
        </w:tabs>
        <w:ind w:left="2160" w:hanging="2160"/>
        <w:rPr>
          <w:b/>
          <w:sz w:val="22"/>
          <w:szCs w:val="22"/>
          <w:u w:val="single"/>
        </w:rPr>
      </w:pPr>
    </w:p>
    <w:p w:rsidR="00654055" w:rsidRPr="00654055" w:rsidRDefault="00654055" w:rsidP="00AF3FE7">
      <w:pPr>
        <w:tabs>
          <w:tab w:val="left" w:pos="2160"/>
        </w:tabs>
        <w:ind w:left="2160" w:hanging="2160"/>
        <w:rPr>
          <w:b/>
          <w:sz w:val="22"/>
          <w:szCs w:val="22"/>
          <w:u w:val="single"/>
        </w:rPr>
      </w:pPr>
      <w:r w:rsidRPr="00654055">
        <w:rPr>
          <w:b/>
          <w:sz w:val="22"/>
          <w:szCs w:val="22"/>
          <w:u w:val="single"/>
        </w:rPr>
        <w:t>COMMUNICATING WITH ME</w:t>
      </w:r>
    </w:p>
    <w:p w:rsidR="00654055" w:rsidRDefault="00654055" w:rsidP="00AF3FE7">
      <w:pPr>
        <w:tabs>
          <w:tab w:val="left" w:pos="2160"/>
        </w:tabs>
        <w:ind w:left="2160" w:hanging="2160"/>
        <w:rPr>
          <w:b/>
          <w:sz w:val="22"/>
          <w:szCs w:val="22"/>
        </w:rPr>
      </w:pPr>
    </w:p>
    <w:p w:rsidR="00654055" w:rsidRDefault="00AF3FE7" w:rsidP="00AF3FE7">
      <w:pPr>
        <w:tabs>
          <w:tab w:val="left" w:pos="2160"/>
        </w:tabs>
        <w:ind w:left="2160" w:hanging="2160"/>
        <w:rPr>
          <w:sz w:val="22"/>
          <w:szCs w:val="22"/>
        </w:rPr>
      </w:pPr>
      <w:r w:rsidRPr="00AF3FE7">
        <w:rPr>
          <w:b/>
          <w:sz w:val="22"/>
          <w:szCs w:val="22"/>
        </w:rPr>
        <w:t>Instructor</w:t>
      </w:r>
      <w:r>
        <w:rPr>
          <w:sz w:val="22"/>
          <w:szCs w:val="22"/>
        </w:rPr>
        <w:tab/>
      </w:r>
      <w:r w:rsidR="00E00561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Warren Jones </w:t>
      </w:r>
    </w:p>
    <w:p w:rsidR="00AF3FE7" w:rsidRDefault="00AF3FE7" w:rsidP="00AF3FE7">
      <w:pPr>
        <w:tabs>
          <w:tab w:val="left" w:pos="2160"/>
        </w:tabs>
        <w:ind w:left="2160" w:hanging="2160"/>
        <w:rPr>
          <w:sz w:val="20"/>
          <w:szCs w:val="20"/>
        </w:rPr>
      </w:pPr>
      <w:r>
        <w:rPr>
          <w:sz w:val="22"/>
          <w:szCs w:val="22"/>
        </w:rPr>
        <w:tab/>
      </w:r>
    </w:p>
    <w:p w:rsidR="007F2C09" w:rsidRPr="007F2C09" w:rsidRDefault="00112263" w:rsidP="00AF3FE7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 w:rsidRPr="00654055">
        <w:rPr>
          <w:b/>
          <w:sz w:val="22"/>
          <w:szCs w:val="22"/>
        </w:rPr>
        <w:t xml:space="preserve">Office </w:t>
      </w:r>
      <w:r w:rsidR="007F2C09">
        <w:rPr>
          <w:b/>
          <w:sz w:val="22"/>
          <w:szCs w:val="22"/>
        </w:rPr>
        <w:tab/>
      </w:r>
      <w:r w:rsidR="00F31DB2">
        <w:t>Discord; see inverseintuition.org</w:t>
      </w:r>
    </w:p>
    <w:p w:rsidR="00112263" w:rsidRPr="00654055" w:rsidRDefault="00112263" w:rsidP="00AF3FE7">
      <w:pPr>
        <w:tabs>
          <w:tab w:val="left" w:pos="2160"/>
        </w:tabs>
        <w:ind w:left="2160" w:hanging="2160"/>
        <w:rPr>
          <w:b/>
          <w:sz w:val="20"/>
          <w:szCs w:val="20"/>
        </w:rPr>
      </w:pPr>
      <w:r w:rsidRPr="00654055">
        <w:rPr>
          <w:b/>
          <w:sz w:val="20"/>
          <w:szCs w:val="20"/>
        </w:rPr>
        <w:tab/>
      </w:r>
    </w:p>
    <w:p w:rsidR="00654055" w:rsidRDefault="00654055" w:rsidP="00654055">
      <w:pPr>
        <w:pStyle w:val="Heading1"/>
      </w:pPr>
      <w:r>
        <w:t>Advisement Hours</w:t>
      </w:r>
      <w:r>
        <w:tab/>
        <w:t xml:space="preserve"> </w:t>
      </w:r>
    </w:p>
    <w:p w:rsidR="00654055" w:rsidRDefault="00654055" w:rsidP="00654055">
      <w:pPr>
        <w:pStyle w:val="Heading1"/>
      </w:pPr>
      <w:r>
        <w:tab/>
      </w:r>
      <w:r>
        <w:tab/>
      </w:r>
      <w:r>
        <w:tab/>
      </w:r>
    </w:p>
    <w:tbl>
      <w:tblPr>
        <w:tblW w:w="532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035"/>
        <w:gridCol w:w="2036"/>
      </w:tblGrid>
      <w:tr w:rsidR="00F31DB2" w:rsidTr="00F31D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 – 2pm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– 5:30pm</w:t>
            </w:r>
          </w:p>
        </w:tc>
      </w:tr>
      <w:tr w:rsidR="00F31DB2" w:rsidTr="00F31D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 – 2pm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– 5:30pm</w:t>
            </w:r>
          </w:p>
        </w:tc>
      </w:tr>
      <w:tr w:rsidR="00F31DB2" w:rsidTr="00F31D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 – 2pm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– 5:30pm</w:t>
            </w:r>
          </w:p>
        </w:tc>
      </w:tr>
      <w:tr w:rsidR="00F31DB2" w:rsidTr="00F31D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 – 2pm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B2" w:rsidRDefault="00F3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– 5:30pm</w:t>
            </w:r>
          </w:p>
        </w:tc>
      </w:tr>
    </w:tbl>
    <w:p w:rsidR="000118C7" w:rsidRPr="009A1A81" w:rsidRDefault="000118C7" w:rsidP="000118C7">
      <w:pPr>
        <w:pStyle w:val="Heading1"/>
        <w:rPr>
          <w:b w:val="0"/>
          <w:szCs w:val="22"/>
        </w:rPr>
      </w:pPr>
    </w:p>
    <w:p w:rsidR="000118C7" w:rsidRDefault="000118C7" w:rsidP="000118C7">
      <w:pPr>
        <w:rPr>
          <w:sz w:val="22"/>
          <w:szCs w:val="22"/>
        </w:rPr>
      </w:pPr>
    </w:p>
    <w:p w:rsidR="00112263" w:rsidRDefault="000118C7" w:rsidP="006D5063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3B90">
        <w:rPr>
          <w:sz w:val="22"/>
          <w:szCs w:val="22"/>
        </w:rPr>
        <w:tab/>
      </w:r>
      <w:r w:rsidR="00513B90">
        <w:rPr>
          <w:sz w:val="22"/>
          <w:szCs w:val="22"/>
        </w:rPr>
        <w:tab/>
      </w:r>
      <w:r w:rsidR="00513B90">
        <w:rPr>
          <w:sz w:val="22"/>
          <w:szCs w:val="22"/>
        </w:rPr>
        <w:tab/>
      </w:r>
    </w:p>
    <w:p w:rsidR="007F2C09" w:rsidRPr="00654055" w:rsidRDefault="00112263" w:rsidP="00F31DB2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 w:rsidRPr="00654055">
        <w:rPr>
          <w:b/>
          <w:sz w:val="22"/>
          <w:szCs w:val="22"/>
        </w:rPr>
        <w:t>Telephone Number</w:t>
      </w:r>
      <w:r w:rsidR="007F2C09">
        <w:rPr>
          <w:b/>
          <w:sz w:val="22"/>
          <w:szCs w:val="22"/>
        </w:rPr>
        <w:tab/>
      </w:r>
      <w:r w:rsidR="00F31DB2">
        <w:rPr>
          <w:b/>
        </w:rPr>
        <w:t xml:space="preserve">433-5077 </w:t>
      </w:r>
      <w:r w:rsidR="00F31DB2">
        <w:t>Include name, Course name, section number.</w:t>
      </w:r>
    </w:p>
    <w:p w:rsidR="00112263" w:rsidRPr="00175032" w:rsidRDefault="00112263" w:rsidP="00AF3FE7">
      <w:pPr>
        <w:tabs>
          <w:tab w:val="left" w:pos="2160"/>
        </w:tabs>
        <w:ind w:left="2160" w:hanging="2160"/>
        <w:rPr>
          <w:sz w:val="20"/>
          <w:szCs w:val="20"/>
        </w:rPr>
      </w:pPr>
    </w:p>
    <w:p w:rsidR="00F31DB2" w:rsidRDefault="00112263" w:rsidP="00F31DB2">
      <w:r w:rsidRPr="00654055">
        <w:rPr>
          <w:b/>
          <w:sz w:val="22"/>
        </w:rPr>
        <w:t>Email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31DB2">
        <w:t>see inverseintuition.org</w:t>
      </w:r>
    </w:p>
    <w:p w:rsidR="00112263" w:rsidRDefault="00112263" w:rsidP="00F31DB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6BBA" w:rsidRPr="00276BBA" w:rsidRDefault="00276BBA" w:rsidP="00276BBA">
      <w:pPr>
        <w:tabs>
          <w:tab w:val="left" w:pos="2160"/>
        </w:tabs>
        <w:ind w:left="2160" w:hanging="2160"/>
        <w:rPr>
          <w:b/>
          <w:sz w:val="22"/>
          <w:szCs w:val="22"/>
          <w:u w:val="single"/>
        </w:rPr>
      </w:pPr>
      <w:r w:rsidRPr="00276BBA">
        <w:rPr>
          <w:b/>
          <w:sz w:val="22"/>
          <w:szCs w:val="22"/>
          <w:u w:val="single"/>
        </w:rPr>
        <w:t>ABOUT THE COURSE</w:t>
      </w:r>
    </w:p>
    <w:p w:rsidR="00276BBA" w:rsidRPr="00276BBA" w:rsidRDefault="00276BBA" w:rsidP="00276BBA">
      <w:pPr>
        <w:tabs>
          <w:tab w:val="left" w:pos="2160"/>
        </w:tabs>
        <w:ind w:left="2160" w:hanging="2160"/>
        <w:rPr>
          <w:sz w:val="22"/>
          <w:szCs w:val="22"/>
        </w:rPr>
      </w:pPr>
    </w:p>
    <w:p w:rsidR="00D67A25" w:rsidRPr="00F46AB5" w:rsidRDefault="00D67A25" w:rsidP="00F46AB5">
      <w:pPr>
        <w:autoSpaceDE w:val="0"/>
        <w:autoSpaceDN w:val="0"/>
        <w:adjustRightInd w:val="0"/>
        <w:ind w:left="2160" w:hanging="2160"/>
        <w:rPr>
          <w:sz w:val="22"/>
          <w:szCs w:val="18"/>
        </w:rPr>
      </w:pPr>
      <w:r w:rsidRPr="005675EC">
        <w:rPr>
          <w:b/>
        </w:rPr>
        <w:t xml:space="preserve">Course </w:t>
      </w:r>
      <w:r w:rsidR="00AF3FE7" w:rsidRPr="005675EC">
        <w:rPr>
          <w:b/>
        </w:rPr>
        <w:t>D</w:t>
      </w:r>
      <w:r w:rsidRPr="005675EC">
        <w:rPr>
          <w:b/>
        </w:rPr>
        <w:t>escription</w:t>
      </w:r>
      <w:r w:rsidR="000A434A" w:rsidRPr="000A434A">
        <w:t xml:space="preserve"> </w:t>
      </w:r>
      <w:r w:rsidR="000A434A">
        <w:tab/>
      </w:r>
      <w:r w:rsidR="005675EC" w:rsidRPr="005675EC">
        <w:rPr>
          <w:bCs/>
          <w:sz w:val="22"/>
          <w:szCs w:val="22"/>
        </w:rPr>
        <w:t xml:space="preserve">Honors Communications 1 </w:t>
      </w:r>
      <w:r w:rsidR="00F46AB5">
        <w:rPr>
          <w:bCs/>
          <w:sz w:val="22"/>
          <w:szCs w:val="22"/>
        </w:rPr>
        <w:t xml:space="preserve"> </w:t>
      </w:r>
      <w:r w:rsidR="005675EC" w:rsidRPr="00F46AB5">
        <w:t>Prerequisite: Acceptable placement test scores and admission into the EFSC Honors Program. Meets Gordon Rule and General Education requirements. A course designed to fulfill the objectives of ENC 1101 in a setting of intensified study, discussion, and analysis of a wide variety of written work. The course is open to students admitted into the EFSC Honors Program.</w:t>
      </w:r>
    </w:p>
    <w:p w:rsidR="005675EC" w:rsidRDefault="005675EC" w:rsidP="00F34A1C">
      <w:pPr>
        <w:pStyle w:val="Heading1"/>
        <w:tabs>
          <w:tab w:val="left" w:pos="2160"/>
        </w:tabs>
        <w:ind w:left="2160" w:hanging="2160"/>
        <w:rPr>
          <w:szCs w:val="18"/>
        </w:rPr>
      </w:pPr>
    </w:p>
    <w:p w:rsidR="00F34A1C" w:rsidRPr="000A434A" w:rsidRDefault="00F34A1C" w:rsidP="00F34A1C">
      <w:pPr>
        <w:pStyle w:val="Heading1"/>
        <w:tabs>
          <w:tab w:val="left" w:pos="2160"/>
        </w:tabs>
        <w:ind w:left="2160" w:hanging="2160"/>
        <w:rPr>
          <w:b w:val="0"/>
        </w:rPr>
      </w:pPr>
      <w:r>
        <w:rPr>
          <w:szCs w:val="18"/>
        </w:rPr>
        <w:t>Course Objective</w:t>
      </w:r>
      <w:r>
        <w:rPr>
          <w:szCs w:val="18"/>
        </w:rPr>
        <w:tab/>
      </w:r>
      <w:r w:rsidRPr="000A434A">
        <w:rPr>
          <w:b w:val="0"/>
        </w:rPr>
        <w:t>Upon completion of the course, the student will be able to do the following: Effectively apply the principles of the writing process: pre-writing, drafting, revising, and editing; Develop and organize purposeful, unified, and coherent paragraphs and essays; Demonstrate competence in grammar, punctuation, mechanics, and usage; and Apply basic research and documentation methods.</w:t>
      </w:r>
    </w:p>
    <w:p w:rsidR="00F34A1C" w:rsidRDefault="00F34A1C" w:rsidP="00F34A1C">
      <w:pPr>
        <w:tabs>
          <w:tab w:val="left" w:pos="7799"/>
          <w:tab w:val="left" w:pos="9361"/>
        </w:tabs>
      </w:pPr>
    </w:p>
    <w:p w:rsidR="00F34A1C" w:rsidRPr="000A434A" w:rsidRDefault="00F34A1C" w:rsidP="00F34A1C">
      <w:pPr>
        <w:tabs>
          <w:tab w:val="left" w:pos="2160"/>
          <w:tab w:val="left" w:pos="7799"/>
          <w:tab w:val="left" w:pos="9361"/>
        </w:tabs>
        <w:ind w:left="2160" w:hanging="2160"/>
        <w:rPr>
          <w:sz w:val="22"/>
          <w:szCs w:val="22"/>
        </w:rPr>
      </w:pPr>
      <w:r w:rsidRPr="000A434A">
        <w:rPr>
          <w:b/>
          <w:sz w:val="22"/>
          <w:szCs w:val="22"/>
        </w:rPr>
        <w:t>Course Competencies</w:t>
      </w:r>
      <w:r w:rsidRPr="000A434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A434A">
        <w:rPr>
          <w:sz w:val="22"/>
          <w:szCs w:val="22"/>
        </w:rPr>
        <w:t>Writing effective paragraphs</w:t>
      </w:r>
      <w:r w:rsidR="00A26BB0">
        <w:rPr>
          <w:sz w:val="22"/>
          <w:szCs w:val="22"/>
        </w:rPr>
        <w:t>,</w:t>
      </w:r>
      <w:r w:rsidRPr="000A434A">
        <w:rPr>
          <w:sz w:val="22"/>
          <w:szCs w:val="22"/>
        </w:rPr>
        <w:t xml:space="preserve"> Writing effective short essays</w:t>
      </w:r>
      <w:r w:rsidR="00A26BB0">
        <w:rPr>
          <w:sz w:val="22"/>
          <w:szCs w:val="22"/>
        </w:rPr>
        <w:t>,</w:t>
      </w:r>
      <w:r w:rsidRPr="000A434A">
        <w:rPr>
          <w:sz w:val="22"/>
          <w:szCs w:val="22"/>
        </w:rPr>
        <w:t xml:space="preserve"> Writing an effective research paper</w:t>
      </w:r>
      <w:r w:rsidR="00A26BB0">
        <w:rPr>
          <w:sz w:val="22"/>
          <w:szCs w:val="22"/>
        </w:rPr>
        <w:t>,</w:t>
      </w:r>
      <w:r w:rsidRPr="000A434A">
        <w:rPr>
          <w:sz w:val="22"/>
          <w:szCs w:val="22"/>
        </w:rPr>
        <w:t xml:space="preserve"> Utilizing various rhetorical modes</w:t>
      </w:r>
      <w:r w:rsidR="00A26BB0">
        <w:rPr>
          <w:sz w:val="22"/>
          <w:szCs w:val="22"/>
        </w:rPr>
        <w:t>,</w:t>
      </w:r>
      <w:r w:rsidRPr="000A434A">
        <w:rPr>
          <w:sz w:val="22"/>
          <w:szCs w:val="22"/>
        </w:rPr>
        <w:t xml:space="preserve"> Using correct grammar, </w:t>
      </w:r>
      <w:r w:rsidRPr="000A434A">
        <w:rPr>
          <w:sz w:val="22"/>
          <w:szCs w:val="22"/>
        </w:rPr>
        <w:lastRenderedPageBreak/>
        <w:t>punctuation and mechanics in writing</w:t>
      </w:r>
      <w:r w:rsidR="00A26BB0">
        <w:rPr>
          <w:sz w:val="22"/>
          <w:szCs w:val="22"/>
        </w:rPr>
        <w:t>,</w:t>
      </w:r>
      <w:r w:rsidRPr="000A434A">
        <w:rPr>
          <w:sz w:val="22"/>
          <w:szCs w:val="22"/>
        </w:rPr>
        <w:t xml:space="preserve"> Using MLA format for documenting sources in academic papers</w:t>
      </w:r>
    </w:p>
    <w:p w:rsidR="00276BBA" w:rsidRDefault="00276BBA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</w:rPr>
      </w:pPr>
    </w:p>
    <w:p w:rsidR="00A26BB0" w:rsidRDefault="00A26BB0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  <w:u w:val="single"/>
        </w:rPr>
      </w:pPr>
    </w:p>
    <w:p w:rsidR="00276BBA" w:rsidRPr="00276BBA" w:rsidRDefault="00276BBA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  <w:u w:val="single"/>
        </w:rPr>
      </w:pPr>
      <w:r w:rsidRPr="00276BBA">
        <w:rPr>
          <w:b/>
          <w:sz w:val="22"/>
          <w:szCs w:val="22"/>
          <w:u w:val="single"/>
        </w:rPr>
        <w:t>POLICIES</w:t>
      </w:r>
    </w:p>
    <w:p w:rsidR="00276BBA" w:rsidRDefault="00276BBA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</w:rPr>
      </w:pPr>
    </w:p>
    <w:p w:rsidR="00513B90" w:rsidRPr="00513B90" w:rsidRDefault="00513B90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Plagiarism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As per the Student handbook, plagiarists will fail the</w:t>
      </w:r>
      <w:r w:rsidR="002F5E0B">
        <w:rPr>
          <w:sz w:val="22"/>
          <w:szCs w:val="22"/>
        </w:rPr>
        <w:t xml:space="preserve"> entire </w:t>
      </w:r>
      <w:r>
        <w:rPr>
          <w:sz w:val="22"/>
          <w:szCs w:val="22"/>
        </w:rPr>
        <w:t xml:space="preserve">course. </w:t>
      </w:r>
    </w:p>
    <w:p w:rsidR="00513B90" w:rsidRDefault="00513B90" w:rsidP="00AF3FE7">
      <w:pPr>
        <w:tabs>
          <w:tab w:val="left" w:pos="2520"/>
          <w:tab w:val="left" w:pos="7799"/>
          <w:tab w:val="left" w:pos="9361"/>
        </w:tabs>
        <w:ind w:left="2160" w:hanging="2160"/>
        <w:rPr>
          <w:b/>
          <w:sz w:val="22"/>
          <w:szCs w:val="22"/>
        </w:rPr>
      </w:pPr>
    </w:p>
    <w:p w:rsidR="00AF3FE7" w:rsidRDefault="00AF3FE7" w:rsidP="00F31DB2">
      <w:pPr>
        <w:tabs>
          <w:tab w:val="left" w:pos="2520"/>
          <w:tab w:val="left" w:pos="7799"/>
          <w:tab w:val="left" w:pos="9361"/>
        </w:tabs>
        <w:ind w:left="2160" w:hanging="2160"/>
      </w:pPr>
      <w:r w:rsidRPr="00AF3FE7">
        <w:rPr>
          <w:b/>
          <w:sz w:val="22"/>
          <w:szCs w:val="22"/>
        </w:rPr>
        <w:t>Late/ Absences</w:t>
      </w:r>
      <w:r>
        <w:rPr>
          <w:sz w:val="22"/>
          <w:szCs w:val="22"/>
        </w:rPr>
        <w:tab/>
      </w:r>
      <w:r w:rsidR="00F31DB2">
        <w:rPr>
          <w:sz w:val="22"/>
          <w:szCs w:val="22"/>
        </w:rPr>
        <w:t>Attendance is not taken after the first week.</w:t>
      </w:r>
      <w:r>
        <w:t xml:space="preserve"> </w:t>
      </w:r>
    </w:p>
    <w:p w:rsidR="008419D9" w:rsidRDefault="008419D9" w:rsidP="008419D9">
      <w:pPr>
        <w:pStyle w:val="BodyTextIndent3"/>
        <w:tabs>
          <w:tab w:val="left" w:pos="2160"/>
        </w:tabs>
        <w:ind w:left="0"/>
        <w:rPr>
          <w:sz w:val="16"/>
          <w:szCs w:val="16"/>
        </w:rPr>
      </w:pPr>
    </w:p>
    <w:p w:rsidR="00F31DB2" w:rsidRDefault="00AF3FE7" w:rsidP="00F31DB2">
      <w:pPr>
        <w:pStyle w:val="BodyTextIndent3"/>
        <w:tabs>
          <w:tab w:val="left" w:pos="2160"/>
        </w:tabs>
        <w:ind w:left="0"/>
      </w:pPr>
      <w:r>
        <w:t>Electronic devices:</w:t>
      </w:r>
      <w:r>
        <w:tab/>
      </w:r>
      <w:r w:rsidR="00F31DB2">
        <w:t>No Phone/Pad/</w:t>
      </w:r>
      <w:proofErr w:type="spellStart"/>
      <w:r w:rsidR="00F31DB2">
        <w:t>etc</w:t>
      </w:r>
      <w:proofErr w:type="spellEnd"/>
      <w:r w:rsidR="00F31DB2">
        <w:t xml:space="preserve"> use in class; if you get a call, take it outside.</w:t>
      </w:r>
    </w:p>
    <w:p w:rsidR="00F31DB2" w:rsidRDefault="00F31DB2" w:rsidP="00F31DB2">
      <w:pPr>
        <w:pStyle w:val="BodyTextIndent3"/>
        <w:tabs>
          <w:tab w:val="left" w:pos="2160"/>
        </w:tabs>
      </w:pPr>
      <w:r>
        <w:t>No Recording devices without prior approval</w:t>
      </w:r>
      <w:r>
        <w:rPr>
          <w:highlight w:val="yellow"/>
        </w:rPr>
        <w:t>; unauthorized use of recording devices will result in expulsion from the course and student conduct charges with the administration.</w:t>
      </w:r>
    </w:p>
    <w:p w:rsidR="00513B90" w:rsidRDefault="00513B90" w:rsidP="00F31DB2">
      <w:pPr>
        <w:pStyle w:val="BodyTextIndent3"/>
        <w:tabs>
          <w:tab w:val="left" w:pos="2160"/>
        </w:tabs>
        <w:ind w:left="0"/>
      </w:pPr>
      <w:r>
        <w:tab/>
      </w:r>
    </w:p>
    <w:p w:rsidR="00AF3FE7" w:rsidRPr="00626FBD" w:rsidRDefault="00AF3FE7" w:rsidP="00AF3FE7">
      <w:pPr>
        <w:ind w:left="2160" w:hanging="2160"/>
        <w:rPr>
          <w:color w:val="000000"/>
          <w:sz w:val="16"/>
          <w:szCs w:val="16"/>
        </w:rPr>
      </w:pPr>
    </w:p>
    <w:p w:rsidR="00AF3FE7" w:rsidRDefault="00AF3FE7" w:rsidP="00AF3FE7">
      <w:pPr>
        <w:ind w:left="2160" w:hanging="2160"/>
        <w:rPr>
          <w:sz w:val="22"/>
          <w:szCs w:val="22"/>
        </w:rPr>
      </w:pPr>
      <w:r w:rsidRPr="00AF3FE7">
        <w:rPr>
          <w:b/>
          <w:color w:val="000000"/>
          <w:sz w:val="22"/>
          <w:szCs w:val="22"/>
        </w:rPr>
        <w:t>Grading Scale:</w:t>
      </w:r>
      <w:r>
        <w:rPr>
          <w:color w:val="000000"/>
          <w:sz w:val="22"/>
          <w:szCs w:val="22"/>
        </w:rPr>
        <w:tab/>
      </w:r>
      <w:r w:rsidR="00F31DB2">
        <w:rPr>
          <w:sz w:val="22"/>
          <w:szCs w:val="22"/>
        </w:rPr>
        <w:t xml:space="preserve">Full drafts of assignments are </w:t>
      </w:r>
      <w:r w:rsidR="003D2499">
        <w:rPr>
          <w:sz w:val="22"/>
          <w:szCs w:val="22"/>
        </w:rPr>
        <w:t xml:space="preserve">due </w:t>
      </w:r>
      <w:r w:rsidR="00AA7B4D">
        <w:rPr>
          <w:sz w:val="22"/>
          <w:szCs w:val="22"/>
        </w:rPr>
        <w:t>one week after being assigned</w:t>
      </w:r>
      <w:r w:rsidR="00F31DB2">
        <w:rPr>
          <w:sz w:val="22"/>
          <w:szCs w:val="22"/>
        </w:rPr>
        <w:t xml:space="preserve">. All assignments turned in </w:t>
      </w:r>
      <w:r w:rsidR="00AA7B4D">
        <w:rPr>
          <w:sz w:val="22"/>
          <w:szCs w:val="22"/>
        </w:rPr>
        <w:t>by that time</w:t>
      </w:r>
      <w:r w:rsidR="00F31DB2">
        <w:rPr>
          <w:sz w:val="22"/>
          <w:szCs w:val="22"/>
        </w:rPr>
        <w:t xml:space="preserve"> can be re-written as much as needed. You may skip assignments that you </w:t>
      </w:r>
      <w:r w:rsidR="00AA7B4D">
        <w:rPr>
          <w:sz w:val="22"/>
          <w:szCs w:val="22"/>
        </w:rPr>
        <w:t>are unable to finish within that one week time frame</w:t>
      </w:r>
      <w:r w:rsidR="00F31DB2">
        <w:rPr>
          <w:sz w:val="22"/>
          <w:szCs w:val="22"/>
        </w:rPr>
        <w:t xml:space="preserve">. Skipping one assignment lowers the possible course grade to a maximum of a B. Skipping two assignments lowers the maximum possible course grade to a C. Skipping three or more assignments will result in a D or F for the course. </w:t>
      </w:r>
    </w:p>
    <w:p w:rsidR="00F31DB2" w:rsidRDefault="00F31DB2" w:rsidP="00AF3FE7">
      <w:pPr>
        <w:ind w:left="2160" w:hanging="2160"/>
        <w:rPr>
          <w:sz w:val="22"/>
          <w:szCs w:val="22"/>
        </w:rPr>
      </w:pPr>
    </w:p>
    <w:p w:rsidR="00F31DB2" w:rsidRDefault="00F31DB2" w:rsidP="00F31DB2">
      <w:pPr>
        <w:ind w:left="2160" w:hanging="2160"/>
        <w:rPr>
          <w:sz w:val="22"/>
          <w:szCs w:val="22"/>
          <w:highlight w:val="yellow"/>
        </w:rPr>
      </w:pPr>
      <w:r w:rsidRPr="00F31DB2"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 xml:space="preserve">You MUST successfully complete the MLA research paper to obtain a passing grade of C or higher in this course. If you do not successfully pass the MLA paper, you will obtain a D in the course. </w:t>
      </w:r>
    </w:p>
    <w:p w:rsidR="00F31DB2" w:rsidRDefault="00F31DB2" w:rsidP="00AF3FE7">
      <w:pPr>
        <w:ind w:left="2160" w:hanging="2160"/>
        <w:rPr>
          <w:sz w:val="22"/>
          <w:szCs w:val="22"/>
        </w:rPr>
      </w:pPr>
    </w:p>
    <w:p w:rsidR="00AF3FE7" w:rsidRPr="00DC25D2" w:rsidRDefault="00AF3FE7" w:rsidP="00AF3FE7">
      <w:pPr>
        <w:rPr>
          <w:color w:val="000000"/>
          <w:sz w:val="16"/>
          <w:szCs w:val="16"/>
        </w:rPr>
      </w:pPr>
      <w:r w:rsidRPr="00DC25D2">
        <w:rPr>
          <w:sz w:val="16"/>
          <w:szCs w:val="16"/>
        </w:rPr>
        <w:t> </w:t>
      </w:r>
      <w:r w:rsidRPr="00DC25D2">
        <w:rPr>
          <w:color w:val="000000"/>
          <w:sz w:val="16"/>
          <w:szCs w:val="16"/>
        </w:rPr>
        <w:tab/>
      </w:r>
      <w:r w:rsidRPr="00DC25D2">
        <w:rPr>
          <w:sz w:val="16"/>
          <w:szCs w:val="16"/>
        </w:rPr>
        <w:t> </w:t>
      </w:r>
    </w:p>
    <w:p w:rsidR="00AF3FE7" w:rsidRDefault="00AF3FE7" w:rsidP="00AF3FE7">
      <w:pPr>
        <w:ind w:left="2160" w:hanging="2160"/>
        <w:rPr>
          <w:sz w:val="22"/>
          <w:szCs w:val="22"/>
        </w:rPr>
      </w:pPr>
      <w:r w:rsidRPr="00AF3FE7">
        <w:rPr>
          <w:b/>
          <w:sz w:val="22"/>
          <w:szCs w:val="22"/>
        </w:rPr>
        <w:t>Withdrawal Policy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Students may withdraw without academic penalty from any course by the established deadline. This will result in a grade of 'W' for the course and will not count against the student's GPA. Students will be permitted a maximum of two withdrawals per course. Upon the third attempt, the student WILL NOT be permitted to withdraw and will receive an earned grade for that course.</w:t>
      </w:r>
    </w:p>
    <w:p w:rsidR="00112263" w:rsidRDefault="00112263" w:rsidP="00112263">
      <w:pPr>
        <w:rPr>
          <w:b/>
          <w:sz w:val="22"/>
          <w:szCs w:val="22"/>
        </w:rPr>
      </w:pPr>
    </w:p>
    <w:p w:rsidR="00AF3FE7" w:rsidRPr="00DC25D2" w:rsidRDefault="00AF3FE7" w:rsidP="00AF3FE7">
      <w:pPr>
        <w:rPr>
          <w:sz w:val="16"/>
          <w:szCs w:val="16"/>
        </w:rPr>
      </w:pPr>
      <w:r w:rsidRPr="00DC25D2">
        <w:rPr>
          <w:sz w:val="16"/>
          <w:szCs w:val="16"/>
        </w:rPr>
        <w:tab/>
      </w:r>
      <w:r w:rsidRPr="00DC25D2">
        <w:rPr>
          <w:sz w:val="16"/>
          <w:szCs w:val="16"/>
        </w:rPr>
        <w:tab/>
      </w:r>
      <w:r w:rsidRPr="00DC25D2">
        <w:rPr>
          <w:sz w:val="16"/>
          <w:szCs w:val="16"/>
        </w:rPr>
        <w:tab/>
      </w:r>
    </w:p>
    <w:p w:rsidR="002F5E0B" w:rsidRDefault="002F5E0B" w:rsidP="00AF3FE7">
      <w:pPr>
        <w:ind w:left="2160" w:hanging="2160"/>
        <w:rPr>
          <w:sz w:val="22"/>
          <w:szCs w:val="22"/>
        </w:rPr>
      </w:pPr>
      <w:r w:rsidRPr="002F5E0B">
        <w:rPr>
          <w:b/>
          <w:sz w:val="22"/>
          <w:szCs w:val="22"/>
        </w:rPr>
        <w:t>Incompletes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Incompletes</w:t>
      </w:r>
      <w:proofErr w:type="spellEnd"/>
      <w:r>
        <w:rPr>
          <w:sz w:val="22"/>
          <w:szCs w:val="22"/>
        </w:rPr>
        <w:t xml:space="preserve"> are ONLY given for those who have passed with a grade of 70% or higher on a minimum of 75% of the assignments. If you cannot verify these conditions, do not ask for </w:t>
      </w:r>
      <w:r w:rsidR="006D5063">
        <w:rPr>
          <w:sz w:val="22"/>
          <w:szCs w:val="22"/>
        </w:rPr>
        <w:t>an "I"</w:t>
      </w:r>
      <w:r>
        <w:rPr>
          <w:sz w:val="22"/>
          <w:szCs w:val="22"/>
        </w:rPr>
        <w:t>.</w:t>
      </w:r>
    </w:p>
    <w:p w:rsidR="00AF3FE7" w:rsidRDefault="00AF3FE7" w:rsidP="00AF3FE7">
      <w:pPr>
        <w:ind w:left="2880" w:hanging="2880"/>
        <w:rPr>
          <w:sz w:val="16"/>
          <w:szCs w:val="22"/>
        </w:rPr>
      </w:pPr>
    </w:p>
    <w:p w:rsidR="00B80FF8" w:rsidRDefault="002F5E0B" w:rsidP="00B80FF8">
      <w:pPr>
        <w:ind w:left="2160"/>
        <w:rPr>
          <w:szCs w:val="22"/>
        </w:rPr>
      </w:pPr>
      <w:r w:rsidRPr="00276BBA">
        <w:rPr>
          <w:b/>
          <w:szCs w:val="22"/>
        </w:rPr>
        <w:tab/>
      </w:r>
      <w:r w:rsidRPr="00276BBA">
        <w:rPr>
          <w:b/>
          <w:szCs w:val="22"/>
        </w:rPr>
        <w:tab/>
      </w:r>
    </w:p>
    <w:p w:rsidR="002F5E0B" w:rsidRPr="00276BBA" w:rsidRDefault="002F5E0B" w:rsidP="002F5E0B">
      <w:pPr>
        <w:rPr>
          <w:sz w:val="22"/>
          <w:szCs w:val="22"/>
        </w:rPr>
      </w:pPr>
      <w:r w:rsidRPr="00276BBA">
        <w:rPr>
          <w:b/>
          <w:sz w:val="22"/>
          <w:szCs w:val="22"/>
        </w:rPr>
        <w:t>Changes</w:t>
      </w:r>
      <w:r w:rsidRPr="00276BBA">
        <w:rPr>
          <w:sz w:val="22"/>
          <w:szCs w:val="22"/>
        </w:rPr>
        <w:tab/>
      </w:r>
      <w:r w:rsidRPr="00276BBA">
        <w:rPr>
          <w:sz w:val="22"/>
          <w:szCs w:val="22"/>
        </w:rPr>
        <w:tab/>
        <w:t>Syllabus and schedule is subject to change</w:t>
      </w:r>
    </w:p>
    <w:p w:rsidR="002F5E0B" w:rsidRDefault="002F5E0B" w:rsidP="002F5E0B">
      <w:pPr>
        <w:rPr>
          <w:b/>
          <w:sz w:val="22"/>
          <w:szCs w:val="22"/>
        </w:rPr>
      </w:pPr>
    </w:p>
    <w:p w:rsidR="002F5E0B" w:rsidRDefault="002F5E0B" w:rsidP="002F5E0B">
      <w:pPr>
        <w:rPr>
          <w:sz w:val="22"/>
          <w:szCs w:val="22"/>
        </w:rPr>
      </w:pPr>
      <w:r w:rsidRPr="00276BBA">
        <w:rPr>
          <w:b/>
          <w:sz w:val="22"/>
          <w:szCs w:val="22"/>
        </w:rPr>
        <w:t xml:space="preserve">Re-write Criteria </w:t>
      </w:r>
      <w:r w:rsidRPr="00276BBA">
        <w:rPr>
          <w:b/>
          <w:sz w:val="22"/>
          <w:szCs w:val="22"/>
        </w:rPr>
        <w:tab/>
      </w:r>
      <w:r w:rsidRPr="00276BBA">
        <w:rPr>
          <w:sz w:val="22"/>
          <w:szCs w:val="22"/>
        </w:rPr>
        <w:t>In order to Re-write paper</w:t>
      </w:r>
      <w:r>
        <w:rPr>
          <w:sz w:val="22"/>
          <w:szCs w:val="22"/>
        </w:rPr>
        <w:t>s</w:t>
      </w:r>
      <w:r w:rsidRPr="00276BBA">
        <w:rPr>
          <w:sz w:val="22"/>
          <w:szCs w:val="22"/>
        </w:rPr>
        <w:t>, the original must fit certain criteria, and the re-</w:t>
      </w:r>
      <w:r w:rsidRPr="00276BBA">
        <w:rPr>
          <w:sz w:val="22"/>
          <w:szCs w:val="22"/>
        </w:rPr>
        <w:tab/>
      </w:r>
      <w:r w:rsidRPr="00276BBA">
        <w:rPr>
          <w:sz w:val="22"/>
          <w:szCs w:val="22"/>
        </w:rPr>
        <w:tab/>
      </w:r>
      <w:r w:rsidRPr="00276BBA">
        <w:rPr>
          <w:sz w:val="22"/>
          <w:szCs w:val="22"/>
        </w:rPr>
        <w:tab/>
      </w:r>
      <w:r w:rsidRPr="00276BBA">
        <w:rPr>
          <w:sz w:val="22"/>
          <w:szCs w:val="22"/>
        </w:rPr>
        <w:tab/>
        <w:t xml:space="preserve">write must fit certain criteria. </w:t>
      </w:r>
      <w:r w:rsidR="00B80FF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76BBA">
        <w:rPr>
          <w:sz w:val="22"/>
          <w:szCs w:val="22"/>
        </w:rPr>
        <w:t xml:space="preserve">See </w:t>
      </w:r>
      <w:proofErr w:type="spellStart"/>
      <w:r w:rsidRPr="00276BBA">
        <w:rPr>
          <w:sz w:val="22"/>
          <w:szCs w:val="22"/>
        </w:rPr>
        <w:t>InverseIntuition</w:t>
      </w:r>
      <w:proofErr w:type="spellEnd"/>
      <w:r w:rsidRPr="00276BBA">
        <w:rPr>
          <w:sz w:val="22"/>
          <w:szCs w:val="22"/>
        </w:rPr>
        <w:t xml:space="preserve"> for more details)</w:t>
      </w:r>
    </w:p>
    <w:p w:rsidR="00B80FF8" w:rsidRDefault="00B80FF8" w:rsidP="002F5E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0FF8" w:rsidRDefault="00B80FF8" w:rsidP="002F5E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following papers cannot be re-written: Research paper, narrative, advocacy,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cause and effect, comparison, and description</w:t>
      </w:r>
    </w:p>
    <w:p w:rsidR="00B80FF8" w:rsidRDefault="00B80FF8" w:rsidP="002F5E0B">
      <w:pPr>
        <w:rPr>
          <w:b/>
          <w:sz w:val="22"/>
          <w:szCs w:val="22"/>
        </w:rPr>
      </w:pPr>
    </w:p>
    <w:p w:rsidR="002F5E0B" w:rsidRPr="0028032F" w:rsidRDefault="002F5E0B" w:rsidP="002F5E0B">
      <w:pPr>
        <w:rPr>
          <w:b/>
          <w:sz w:val="20"/>
          <w:szCs w:val="20"/>
        </w:rPr>
      </w:pPr>
      <w:r w:rsidRPr="00276BBA">
        <w:rPr>
          <w:b/>
          <w:sz w:val="22"/>
          <w:szCs w:val="22"/>
        </w:rPr>
        <w:t>Weekly Schedule</w:t>
      </w:r>
      <w:r w:rsidRPr="00276BBA">
        <w:rPr>
          <w:b/>
          <w:sz w:val="22"/>
          <w:szCs w:val="22"/>
        </w:rPr>
        <w:tab/>
      </w:r>
      <w:r w:rsidRPr="00276BBA">
        <w:rPr>
          <w:sz w:val="22"/>
          <w:szCs w:val="22"/>
        </w:rPr>
        <w:t xml:space="preserve">Download your Class Time's appropriate weekly schedule from </w:t>
      </w:r>
      <w:proofErr w:type="spellStart"/>
      <w:r w:rsidRPr="00276BBA">
        <w:rPr>
          <w:sz w:val="22"/>
          <w:szCs w:val="22"/>
        </w:rPr>
        <w:t>InverseIntuition</w:t>
      </w:r>
      <w:proofErr w:type="spellEnd"/>
    </w:p>
    <w:p w:rsidR="002F5E0B" w:rsidRDefault="002F5E0B">
      <w:pPr>
        <w:rPr>
          <w:b/>
          <w:bCs/>
          <w:sz w:val="22"/>
        </w:rPr>
      </w:pPr>
    </w:p>
    <w:p w:rsidR="007F2C09" w:rsidRDefault="00D67A25">
      <w:pPr>
        <w:rPr>
          <w:b/>
          <w:bCs/>
          <w:sz w:val="22"/>
        </w:rPr>
      </w:pPr>
      <w:r>
        <w:rPr>
          <w:b/>
          <w:bCs/>
          <w:sz w:val="22"/>
        </w:rPr>
        <w:t>Grade</w:t>
      </w:r>
      <w:r w:rsidR="007F2C09">
        <w:rPr>
          <w:b/>
          <w:bCs/>
          <w:sz w:val="22"/>
        </w:rPr>
        <w:t>/Work</w:t>
      </w:r>
    </w:p>
    <w:p w:rsidR="00D67A25" w:rsidRDefault="00D67A25">
      <w:pPr>
        <w:rPr>
          <w:sz w:val="22"/>
        </w:rPr>
      </w:pPr>
      <w:r>
        <w:rPr>
          <w:b/>
          <w:bCs/>
          <w:sz w:val="22"/>
        </w:rPr>
        <w:t xml:space="preserve"> Distribution</w:t>
      </w:r>
      <w:r>
        <w:rPr>
          <w:sz w:val="22"/>
        </w:rPr>
        <w:tab/>
      </w:r>
      <w:r>
        <w:rPr>
          <w:sz w:val="22"/>
        </w:rPr>
        <w:tab/>
      </w:r>
    </w:p>
    <w:p w:rsidR="002F5E0B" w:rsidRDefault="008419D9">
      <w:pPr>
        <w:rPr>
          <w:sz w:val="22"/>
        </w:rPr>
      </w:pPr>
      <w:r>
        <w:rPr>
          <w:sz w:val="22"/>
        </w:rPr>
        <w:tab/>
      </w:r>
      <w:r w:rsidR="00D67A25">
        <w:rPr>
          <w:sz w:val="22"/>
        </w:rPr>
        <w:tab/>
      </w:r>
      <w:r w:rsidR="00D67A25">
        <w:rPr>
          <w:sz w:val="22"/>
        </w:rPr>
        <w:tab/>
      </w:r>
      <w:r w:rsidR="002F5E0B">
        <w:rPr>
          <w:sz w:val="22"/>
        </w:rPr>
        <w:t xml:space="preserve">See Schedule on </w:t>
      </w:r>
      <w:proofErr w:type="spellStart"/>
      <w:r w:rsidR="002F5E0B">
        <w:rPr>
          <w:sz w:val="22"/>
        </w:rPr>
        <w:t>InverseIntuition</w:t>
      </w:r>
      <w:proofErr w:type="spellEnd"/>
      <w:r w:rsidR="002F5E0B">
        <w:rPr>
          <w:sz w:val="22"/>
        </w:rPr>
        <w:t xml:space="preserve"> for due dates</w:t>
      </w:r>
      <w:r w:rsidR="000118C7">
        <w:rPr>
          <w:sz w:val="22"/>
        </w:rPr>
        <w:t xml:space="preserve"> of assignments</w:t>
      </w:r>
      <w:r w:rsidR="002F5E0B">
        <w:rPr>
          <w:sz w:val="22"/>
        </w:rPr>
        <w:tab/>
      </w:r>
    </w:p>
    <w:p w:rsidR="00C565F5" w:rsidRDefault="00C565F5" w:rsidP="00C565F5">
      <w:pPr>
        <w:ind w:left="1440"/>
        <w:rPr>
          <w:b/>
          <w:bCs/>
        </w:rPr>
      </w:pPr>
      <w:r>
        <w:rPr>
          <w:b/>
          <w:bCs/>
        </w:rPr>
        <w:lastRenderedPageBreak/>
        <w:t>The following information is mandated by the college to be in all syllabi</w:t>
      </w:r>
    </w:p>
    <w:p w:rsidR="00C565F5" w:rsidRDefault="00C565F5" w:rsidP="00C565F5">
      <w:pPr>
        <w:pStyle w:val="Heading1"/>
        <w:spacing w:after="240" w:line="360" w:lineRule="auto"/>
        <w:jc w:val="center"/>
        <w:rPr>
          <w:rFonts w:ascii="Calibri Light" w:hAnsi="Calibri Light"/>
          <w:b w:val="0"/>
          <w:bCs w:val="0"/>
          <w:color w:val="2F5496"/>
          <w:sz w:val="70"/>
          <w:szCs w:val="70"/>
          <w:u w:color="2C75B5"/>
        </w:rPr>
      </w:pPr>
    </w:p>
    <w:p w:rsidR="00C565F5" w:rsidRPr="00566AB5" w:rsidRDefault="00C565F5" w:rsidP="00C565F5">
      <w:pPr>
        <w:pStyle w:val="Heading1"/>
        <w:spacing w:after="240" w:line="360" w:lineRule="auto"/>
        <w:jc w:val="center"/>
        <w:rPr>
          <w:rFonts w:ascii="Calibri Light" w:hAnsi="Calibri Light"/>
          <w:b w:val="0"/>
          <w:bCs w:val="0"/>
          <w:color w:val="2F5496"/>
          <w:sz w:val="70"/>
          <w:szCs w:val="70"/>
          <w:u w:color="2C75B5"/>
        </w:rPr>
      </w:pPr>
      <w:r w:rsidRPr="00566AB5">
        <w:rPr>
          <w:rFonts w:ascii="Calibri Light" w:hAnsi="Calibri Light"/>
          <w:b w:val="0"/>
          <w:bCs w:val="0"/>
          <w:color w:val="2F5496"/>
          <w:sz w:val="70"/>
          <w:szCs w:val="70"/>
          <w:u w:color="2C75B5"/>
        </w:rPr>
        <w:t>Syllabus Addendum</w:t>
      </w:r>
    </w:p>
    <w:p w:rsidR="00C565F5" w:rsidRPr="00566AB5" w:rsidRDefault="00C565F5" w:rsidP="00C565F5">
      <w:pPr>
        <w:spacing w:after="240" w:line="360" w:lineRule="auto"/>
        <w:rPr>
          <w:rFonts w:ascii="Calibri" w:eastAsia="Calibri" w:hAnsi="Calibri" w:cs="Calibri"/>
          <w:color w:val="2C75B6"/>
          <w:u w:val="single" w:color="2C75B5"/>
        </w:rPr>
      </w:pPr>
      <w:r w:rsidRPr="00566AB5">
        <w:rPr>
          <w:rFonts w:ascii="Calibri" w:eastAsia="Calibri" w:hAnsi="Calibri" w:cs="Calibri"/>
          <w:color w:val="000000"/>
          <w:u w:color="000000"/>
        </w:rPr>
        <w:t>Please click on the links below for important student information:</w:t>
      </w:r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7">
        <w:r w:rsidRPr="00566AB5">
          <w:rPr>
            <w:rFonts w:ascii="Calibri" w:eastAsia="Calibri" w:hAnsi="Calibri" w:cs="Calibri"/>
            <w:color w:val="2C75B6"/>
            <w:u w:val="single" w:color="2C75B5"/>
          </w:rPr>
          <w:t>Academic and Administrative Appeal Process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8">
        <w:r w:rsidRPr="00566AB5">
          <w:rPr>
            <w:rFonts w:ascii="Calibri" w:eastAsia="Calibri" w:hAnsi="Calibri" w:cs="Calibri"/>
            <w:color w:val="2C75B6"/>
            <w:u w:val="single" w:color="2C75B5"/>
          </w:rPr>
          <w:t>Americans with Disabilities Act (ADA) and Section 504 (Subpart E)</w:t>
        </w:r>
      </w:hyperlink>
      <w:r w:rsidRPr="00566AB5">
        <w:rPr>
          <w:rFonts w:ascii="Calibri" w:eastAsia="Calibri" w:hAnsi="Calibri" w:cs="Calibri"/>
          <w:color w:val="2C75B6"/>
          <w:u w:val="single" w:color="2C75B5"/>
        </w:rPr>
        <w:t xml:space="preserve"> </w:t>
      </w:r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szCs w:val="22"/>
          <w:u w:val="single" w:color="2C75B5"/>
        </w:rPr>
      </w:pPr>
      <w:hyperlink r:id="rId9">
        <w:r w:rsidRPr="00566AB5">
          <w:rPr>
            <w:rFonts w:ascii="Calibri" w:eastAsia="Calibri" w:hAnsi="Calibri" w:cs="Calibri"/>
            <w:color w:val="2C75B6"/>
            <w:szCs w:val="22"/>
            <w:u w:val="single" w:color="2C75B5"/>
          </w:rPr>
          <w:t>Computer Lab Usage</w:t>
        </w:r>
      </w:hyperlink>
      <w:r w:rsidRPr="00566AB5">
        <w:rPr>
          <w:rFonts w:ascii="Calibri" w:eastAsia="Calibri" w:hAnsi="Calibri" w:cs="Calibri"/>
          <w:color w:val="2C75B6"/>
          <w:szCs w:val="22"/>
          <w:u w:val="single" w:color="2C75B5"/>
        </w:rPr>
        <w:t xml:space="preserve"> </w:t>
      </w:r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szCs w:val="22"/>
          <w:u w:val="single" w:color="2C75B5"/>
        </w:rPr>
      </w:pPr>
      <w:hyperlink r:id="rId10" w:history="1">
        <w:r w:rsidRPr="00566AB5">
          <w:rPr>
            <w:rFonts w:ascii="Calibri" w:eastAsia="Calibri" w:hAnsi="Calibri" w:cs="Calibri"/>
            <w:color w:val="0563C1"/>
            <w:szCs w:val="22"/>
            <w:u w:val="single" w:color="2C75B5"/>
          </w:rPr>
          <w:t>Coronavirus (COVID-19) Reporting &amp; Contact Tracing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szCs w:val="22"/>
          <w:u w:val="single" w:color="2C75B5"/>
        </w:rPr>
      </w:pPr>
      <w:hyperlink r:id="rId11" w:history="1">
        <w:r w:rsidRPr="00566AB5">
          <w:rPr>
            <w:rFonts w:ascii="Calibri" w:eastAsia="Calibri" w:hAnsi="Calibri" w:cs="Calibri"/>
            <w:color w:val="0563C1"/>
            <w:szCs w:val="22"/>
            <w:u w:val="single" w:color="2C75B5"/>
          </w:rPr>
          <w:t>COVID-19 Syllabus Statement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12" w:history="1">
        <w:proofErr w:type="spellStart"/>
        <w:r w:rsidRPr="00566AB5">
          <w:rPr>
            <w:rFonts w:ascii="Calibri" w:eastAsia="Calibri" w:hAnsi="Calibri" w:cs="Calibri"/>
            <w:color w:val="0563C1"/>
            <w:u w:val="single" w:color="2C75B5"/>
          </w:rPr>
          <w:t>EFSCares</w:t>
        </w:r>
        <w:proofErr w:type="spellEnd"/>
        <w:r w:rsidRPr="00566AB5">
          <w:rPr>
            <w:rFonts w:ascii="Calibri" w:eastAsia="Calibri" w:hAnsi="Calibri" w:cs="Calibri"/>
            <w:color w:val="0563C1"/>
            <w:u w:val="single" w:color="2C75B5"/>
          </w:rPr>
          <w:t xml:space="preserve"> Student Counseling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r w:rsidRPr="00566AB5">
        <w:rPr>
          <w:rFonts w:ascii="Calibri" w:eastAsia="Calibri" w:hAnsi="Calibri" w:cs="Calibri"/>
          <w:bCs/>
          <w:color w:val="2C75B6"/>
          <w:u w:val="single" w:color="2C75B5"/>
        </w:rPr>
        <w:t xml:space="preserve">EFSC </w:t>
      </w:r>
      <w:bookmarkStart w:id="0" w:name="_Hlk34740828"/>
      <w:r w:rsidRPr="00566AB5">
        <w:rPr>
          <w:rFonts w:ascii="Calibri" w:eastAsia="Calibri" w:hAnsi="Calibri" w:cs="Calibri"/>
          <w:b/>
          <w:color w:val="2C75B6"/>
          <w:u w:val="single" w:color="2C75B5"/>
        </w:rPr>
        <w:fldChar w:fldCharType="begin"/>
      </w:r>
      <w:r w:rsidRPr="00566AB5">
        <w:rPr>
          <w:rFonts w:ascii="Calibri" w:eastAsia="Calibri" w:hAnsi="Calibri" w:cs="Calibri"/>
          <w:b/>
          <w:color w:val="2C75B6"/>
          <w:u w:val="single" w:color="2C75B5"/>
        </w:rPr>
        <w:instrText xml:space="preserve"> HYPERLINK "http://www.easternflorida.edu/admissions/registrars-office/grading-policies/" \h </w:instrText>
      </w:r>
      <w:r w:rsidRPr="00566AB5">
        <w:rPr>
          <w:rFonts w:ascii="Calibri" w:eastAsia="Calibri" w:hAnsi="Calibri" w:cs="Calibri"/>
          <w:b/>
          <w:color w:val="2C75B6"/>
          <w:u w:val="single" w:color="2C75B5"/>
        </w:rPr>
        <w:fldChar w:fldCharType="separate"/>
      </w:r>
      <w:r w:rsidRPr="00566AB5">
        <w:rPr>
          <w:rFonts w:ascii="Calibri" w:eastAsia="Calibri" w:hAnsi="Calibri" w:cs="Calibri"/>
          <w:color w:val="2C75B6"/>
          <w:u w:val="single" w:color="2C75B5"/>
        </w:rPr>
        <w:t>Grading/Incomplete Policy</w:t>
      </w:r>
      <w:r w:rsidRPr="00566AB5">
        <w:rPr>
          <w:rFonts w:ascii="Calibri" w:eastAsia="Calibri" w:hAnsi="Calibri" w:cs="Calibri"/>
          <w:color w:val="2C75B6"/>
          <w:u w:val="single" w:color="2C75B5"/>
        </w:rPr>
        <w:fldChar w:fldCharType="end"/>
      </w:r>
      <w:bookmarkStart w:id="1" w:name="_GoBack"/>
      <w:bookmarkEnd w:id="0"/>
      <w:bookmarkEnd w:id="1"/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r w:rsidRPr="00566AB5">
        <w:rPr>
          <w:rFonts w:ascii="Calibri" w:eastAsia="Calibri" w:hAnsi="Calibri" w:cs="Calibri"/>
          <w:bCs/>
          <w:color w:val="2C75B6"/>
          <w:u w:val="single" w:color="2C75B5"/>
        </w:rPr>
        <w:t xml:space="preserve">EFSC </w:t>
      </w:r>
      <w:hyperlink r:id="rId13">
        <w:r w:rsidRPr="00566AB5">
          <w:rPr>
            <w:rFonts w:ascii="Calibri" w:eastAsia="Calibri" w:hAnsi="Calibri" w:cs="Calibri"/>
            <w:color w:val="2C75B6"/>
            <w:u w:val="single" w:color="2C75B5"/>
          </w:rPr>
          <w:t>Proctored Exam Process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r w:rsidRPr="00566AB5">
        <w:rPr>
          <w:rFonts w:ascii="Calibri" w:eastAsia="Calibri" w:hAnsi="Calibri" w:cs="Calibri"/>
          <w:bCs/>
          <w:color w:val="2C75B6"/>
          <w:u w:val="single" w:color="2C75B5"/>
        </w:rPr>
        <w:t xml:space="preserve">EFSC Rules on </w:t>
      </w:r>
      <w:hyperlink r:id="rId14">
        <w:r w:rsidRPr="00566AB5">
          <w:rPr>
            <w:rFonts w:ascii="Calibri" w:eastAsia="Calibri" w:hAnsi="Calibri" w:cs="Calibri"/>
            <w:color w:val="2C75B6"/>
            <w:u w:val="single" w:color="2C75B5"/>
          </w:rPr>
          <w:t>Class Participation and Religious Observances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15">
        <w:r w:rsidRPr="00566AB5">
          <w:rPr>
            <w:rFonts w:ascii="Calibri" w:eastAsia="Calibri" w:hAnsi="Calibri" w:cs="Calibri"/>
            <w:color w:val="2C75B6"/>
            <w:u w:val="single" w:color="2C75B5"/>
          </w:rPr>
          <w:t>FERPA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16">
        <w:r w:rsidRPr="00566AB5">
          <w:rPr>
            <w:rFonts w:ascii="Calibri" w:eastAsia="Calibri" w:hAnsi="Calibri" w:cs="Calibri"/>
            <w:color w:val="2C75B6"/>
            <w:u w:val="single" w:color="2C75B5"/>
          </w:rPr>
          <w:t>Financial Aid and Scholarships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17">
        <w:r w:rsidRPr="00566AB5">
          <w:rPr>
            <w:rFonts w:ascii="Calibri" w:eastAsia="Calibri" w:hAnsi="Calibri" w:cs="Calibri"/>
            <w:color w:val="2C75B6"/>
            <w:u w:val="single" w:color="2C75B5"/>
          </w:rPr>
          <w:t>Health, Safety, and Security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18">
        <w:r w:rsidRPr="00566AB5">
          <w:rPr>
            <w:rFonts w:ascii="Calibri" w:eastAsia="Calibri" w:hAnsi="Calibri" w:cs="Calibri"/>
            <w:color w:val="2C75B6"/>
            <w:u w:val="single" w:color="2C75B5"/>
          </w:rPr>
          <w:t>Sexual Misconduct and Title IX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19">
        <w:r w:rsidRPr="00566AB5">
          <w:rPr>
            <w:rFonts w:ascii="Calibri" w:eastAsia="Calibri" w:hAnsi="Calibri" w:cs="Calibri"/>
            <w:color w:val="2C75B6"/>
            <w:u w:val="single" w:color="2C75B5"/>
          </w:rPr>
          <w:t>Standards of Academic Progress</w:t>
        </w:r>
      </w:hyperlink>
    </w:p>
    <w:p w:rsidR="00C565F5" w:rsidRPr="00566AB5" w:rsidRDefault="00C565F5" w:rsidP="00C565F5">
      <w:pPr>
        <w:numPr>
          <w:ilvl w:val="0"/>
          <w:numId w:val="5"/>
        </w:numPr>
        <w:spacing w:after="240" w:line="360" w:lineRule="auto"/>
        <w:ind w:hanging="10"/>
        <w:rPr>
          <w:rFonts w:ascii="Calibri" w:eastAsia="Calibri" w:hAnsi="Calibri" w:cs="Calibri"/>
          <w:color w:val="2C75B6"/>
          <w:u w:val="single" w:color="2C75B5"/>
        </w:rPr>
      </w:pPr>
      <w:hyperlink r:id="rId20">
        <w:r w:rsidRPr="00566AB5">
          <w:rPr>
            <w:rFonts w:ascii="Calibri" w:eastAsia="Calibri" w:hAnsi="Calibri" w:cs="Calibri"/>
            <w:color w:val="2C75B6"/>
            <w:u w:val="single" w:color="2C75B5"/>
          </w:rPr>
          <w:t>Student Access for Improved Learning</w:t>
        </w:r>
      </w:hyperlink>
    </w:p>
    <w:p w:rsidR="00C565F5" w:rsidRDefault="00C565F5" w:rsidP="00C565F5">
      <w:pPr>
        <w:rPr>
          <w:b/>
          <w:bCs/>
        </w:rPr>
      </w:pPr>
    </w:p>
    <w:p w:rsidR="007F2C09" w:rsidRDefault="007F2C09">
      <w:pPr>
        <w:rPr>
          <w:sz w:val="22"/>
        </w:rPr>
      </w:pPr>
    </w:p>
    <w:p w:rsidR="002F5E0B" w:rsidRDefault="002F5E0B">
      <w:pPr>
        <w:rPr>
          <w:sz w:val="22"/>
        </w:rPr>
      </w:pPr>
    </w:p>
    <w:p w:rsidR="002F5E0B" w:rsidRDefault="002F5E0B">
      <w:pPr>
        <w:rPr>
          <w:sz w:val="22"/>
        </w:rPr>
      </w:pPr>
    </w:p>
    <w:sectPr w:rsidR="002F5E0B" w:rsidSect="00A26BB0">
      <w:headerReference w:type="even" r:id="rId21"/>
      <w:headerReference w:type="default" r:id="rId2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28" w:rsidRDefault="004D3328">
      <w:r>
        <w:separator/>
      </w:r>
    </w:p>
  </w:endnote>
  <w:endnote w:type="continuationSeparator" w:id="0">
    <w:p w:rsidR="004D3328" w:rsidRDefault="004D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28" w:rsidRDefault="004D3328">
      <w:r>
        <w:separator/>
      </w:r>
    </w:p>
  </w:footnote>
  <w:footnote w:type="continuationSeparator" w:id="0">
    <w:p w:rsidR="004D3328" w:rsidRDefault="004D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95" w:rsidRDefault="00940C95" w:rsidP="00D67A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C95" w:rsidRDefault="00940C95" w:rsidP="006F5E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95" w:rsidRDefault="00940C95" w:rsidP="00D67A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5F5">
      <w:rPr>
        <w:rStyle w:val="PageNumber"/>
        <w:noProof/>
      </w:rPr>
      <w:t>4</w:t>
    </w:r>
    <w:r>
      <w:rPr>
        <w:rStyle w:val="PageNumber"/>
      </w:rPr>
      <w:fldChar w:fldCharType="end"/>
    </w:r>
  </w:p>
  <w:p w:rsidR="00940C95" w:rsidRDefault="00940C95" w:rsidP="006F5E0B">
    <w:pPr>
      <w:pStyle w:val="Header"/>
      <w:ind w:right="360"/>
      <w:jc w:val="right"/>
    </w:pPr>
    <w:r>
      <w:t>Communications I</w:t>
    </w:r>
    <w:r w:rsidR="00E0676C">
      <w:t xml:space="preserve"> Honors</w:t>
    </w:r>
    <w:r>
      <w:t xml:space="preserve">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A87"/>
    <w:multiLevelType w:val="multilevel"/>
    <w:tmpl w:val="E3E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77456"/>
    <w:multiLevelType w:val="hybridMultilevel"/>
    <w:tmpl w:val="B62AE626"/>
    <w:lvl w:ilvl="0" w:tplc="FDC2AC5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5F70"/>
    <w:multiLevelType w:val="hybridMultilevel"/>
    <w:tmpl w:val="203A93C2"/>
    <w:lvl w:ilvl="0" w:tplc="F96437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023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1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BF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A9B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626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0BF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C1B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81386"/>
    <w:multiLevelType w:val="multilevel"/>
    <w:tmpl w:val="83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7"/>
    <w:rsid w:val="00010292"/>
    <w:rsid w:val="000118C7"/>
    <w:rsid w:val="00033811"/>
    <w:rsid w:val="00065404"/>
    <w:rsid w:val="000820AA"/>
    <w:rsid w:val="000A434A"/>
    <w:rsid w:val="000A5E1F"/>
    <w:rsid w:val="000B32FC"/>
    <w:rsid w:val="000C314D"/>
    <w:rsid w:val="000E3046"/>
    <w:rsid w:val="000E7423"/>
    <w:rsid w:val="000F144E"/>
    <w:rsid w:val="00105777"/>
    <w:rsid w:val="00112263"/>
    <w:rsid w:val="00115AD6"/>
    <w:rsid w:val="0013461E"/>
    <w:rsid w:val="00137B76"/>
    <w:rsid w:val="00150339"/>
    <w:rsid w:val="00194C6B"/>
    <w:rsid w:val="001B1278"/>
    <w:rsid w:val="001D1242"/>
    <w:rsid w:val="002035EA"/>
    <w:rsid w:val="0020786F"/>
    <w:rsid w:val="00225365"/>
    <w:rsid w:val="00233FE4"/>
    <w:rsid w:val="002373E0"/>
    <w:rsid w:val="00263471"/>
    <w:rsid w:val="00276BBA"/>
    <w:rsid w:val="0028032F"/>
    <w:rsid w:val="002F5E0B"/>
    <w:rsid w:val="003369E9"/>
    <w:rsid w:val="003A551B"/>
    <w:rsid w:val="003D2499"/>
    <w:rsid w:val="003D6244"/>
    <w:rsid w:val="003E14EC"/>
    <w:rsid w:val="003E17B4"/>
    <w:rsid w:val="00426A5E"/>
    <w:rsid w:val="004342DC"/>
    <w:rsid w:val="00443480"/>
    <w:rsid w:val="0045252B"/>
    <w:rsid w:val="00461221"/>
    <w:rsid w:val="004663DE"/>
    <w:rsid w:val="00494ADF"/>
    <w:rsid w:val="004D3328"/>
    <w:rsid w:val="004F7A02"/>
    <w:rsid w:val="00513B90"/>
    <w:rsid w:val="00542D74"/>
    <w:rsid w:val="00564C24"/>
    <w:rsid w:val="00565E80"/>
    <w:rsid w:val="005675EC"/>
    <w:rsid w:val="00574CDE"/>
    <w:rsid w:val="005854F7"/>
    <w:rsid w:val="005B115B"/>
    <w:rsid w:val="005B6B9E"/>
    <w:rsid w:val="005D30CD"/>
    <w:rsid w:val="005D6B1C"/>
    <w:rsid w:val="005E45D4"/>
    <w:rsid w:val="005F08D7"/>
    <w:rsid w:val="005F18F0"/>
    <w:rsid w:val="00622D94"/>
    <w:rsid w:val="0064560E"/>
    <w:rsid w:val="00646301"/>
    <w:rsid w:val="00654055"/>
    <w:rsid w:val="0067609A"/>
    <w:rsid w:val="006B3EF0"/>
    <w:rsid w:val="006D5063"/>
    <w:rsid w:val="006E25F7"/>
    <w:rsid w:val="006E7719"/>
    <w:rsid w:val="006F5E0B"/>
    <w:rsid w:val="00716DC5"/>
    <w:rsid w:val="0073543E"/>
    <w:rsid w:val="00747A3E"/>
    <w:rsid w:val="007659AB"/>
    <w:rsid w:val="00771B96"/>
    <w:rsid w:val="00773CA5"/>
    <w:rsid w:val="00790053"/>
    <w:rsid w:val="007963F9"/>
    <w:rsid w:val="007B79B5"/>
    <w:rsid w:val="007C4DC5"/>
    <w:rsid w:val="007F2C09"/>
    <w:rsid w:val="00836DDC"/>
    <w:rsid w:val="008419D9"/>
    <w:rsid w:val="00842797"/>
    <w:rsid w:val="00856037"/>
    <w:rsid w:val="008A571E"/>
    <w:rsid w:val="008A63F6"/>
    <w:rsid w:val="008C271F"/>
    <w:rsid w:val="008D71FC"/>
    <w:rsid w:val="009165EE"/>
    <w:rsid w:val="00940C95"/>
    <w:rsid w:val="00946C99"/>
    <w:rsid w:val="00947245"/>
    <w:rsid w:val="00953C57"/>
    <w:rsid w:val="00980306"/>
    <w:rsid w:val="009B5684"/>
    <w:rsid w:val="00A22FF7"/>
    <w:rsid w:val="00A26BB0"/>
    <w:rsid w:val="00AA7B4D"/>
    <w:rsid w:val="00AB342F"/>
    <w:rsid w:val="00AF3FE7"/>
    <w:rsid w:val="00B40EFE"/>
    <w:rsid w:val="00B5126E"/>
    <w:rsid w:val="00B63E2A"/>
    <w:rsid w:val="00B80FF8"/>
    <w:rsid w:val="00BA4677"/>
    <w:rsid w:val="00BC6677"/>
    <w:rsid w:val="00BE7042"/>
    <w:rsid w:val="00C001B6"/>
    <w:rsid w:val="00C55B73"/>
    <w:rsid w:val="00C565F5"/>
    <w:rsid w:val="00C61851"/>
    <w:rsid w:val="00C73579"/>
    <w:rsid w:val="00C924B4"/>
    <w:rsid w:val="00CA432B"/>
    <w:rsid w:val="00CD22D3"/>
    <w:rsid w:val="00D477F7"/>
    <w:rsid w:val="00D67A25"/>
    <w:rsid w:val="00D75CA0"/>
    <w:rsid w:val="00D81639"/>
    <w:rsid w:val="00DA4FCD"/>
    <w:rsid w:val="00DF132E"/>
    <w:rsid w:val="00E00561"/>
    <w:rsid w:val="00E0676C"/>
    <w:rsid w:val="00E258CE"/>
    <w:rsid w:val="00E33A19"/>
    <w:rsid w:val="00E35B34"/>
    <w:rsid w:val="00E36677"/>
    <w:rsid w:val="00E756FA"/>
    <w:rsid w:val="00EF2703"/>
    <w:rsid w:val="00F0197C"/>
    <w:rsid w:val="00F31DB2"/>
    <w:rsid w:val="00F34A1C"/>
    <w:rsid w:val="00F43884"/>
    <w:rsid w:val="00F46AB5"/>
    <w:rsid w:val="00F62631"/>
    <w:rsid w:val="00F643FE"/>
    <w:rsid w:val="00FA1CC3"/>
    <w:rsid w:val="00FD550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B211B-289E-4C00-9283-3575569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ind w:left="2880" w:hanging="288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799"/>
        <w:tab w:val="left" w:pos="9361"/>
      </w:tabs>
      <w:ind w:left="-26"/>
      <w:outlineLvl w:val="2"/>
    </w:pPr>
    <w:rPr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nnamed2">
    <w:name w:val="unnamed2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unnamed11">
    <w:name w:val="unnamed11"/>
    <w:rPr>
      <w:rFonts w:ascii="Verdana" w:hAnsi="Verdana" w:hint="default"/>
      <w:b/>
      <w:bCs/>
      <w:color w:val="660000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</w:rPr>
  </w:style>
  <w:style w:type="paragraph" w:styleId="BodyTextIndent">
    <w:name w:val="Body Text Indent"/>
    <w:basedOn w:val="Normal"/>
    <w:pPr>
      <w:ind w:left="2160"/>
    </w:pPr>
    <w:rPr>
      <w:sz w:val="22"/>
    </w:rPr>
  </w:style>
  <w:style w:type="paragraph" w:styleId="BodyTextIndent2">
    <w:name w:val="Body Text Indent 2"/>
    <w:basedOn w:val="Normal"/>
    <w:pPr>
      <w:ind w:left="2880"/>
    </w:pPr>
    <w:rPr>
      <w:sz w:val="22"/>
      <w:szCs w:val="18"/>
    </w:rPr>
  </w:style>
  <w:style w:type="paragraph" w:styleId="BodyTextIndent3">
    <w:name w:val="Body Text Indent 3"/>
    <w:basedOn w:val="Normal"/>
    <w:link w:val="BodyTextIndent3Char"/>
    <w:pPr>
      <w:ind w:left="2160"/>
    </w:pPr>
    <w:rPr>
      <w:b/>
      <w:bCs/>
      <w:sz w:val="22"/>
    </w:rPr>
  </w:style>
  <w:style w:type="paragraph" w:styleId="BalloonText">
    <w:name w:val="Balloon Text"/>
    <w:basedOn w:val="Normal"/>
    <w:semiHidden/>
    <w:rsid w:val="008419D9"/>
    <w:rPr>
      <w:rFonts w:ascii="Tahoma" w:hAnsi="Tahoma" w:cs="Tahoma"/>
      <w:sz w:val="16"/>
      <w:szCs w:val="16"/>
    </w:rPr>
  </w:style>
  <w:style w:type="character" w:styleId="Hyperlink">
    <w:name w:val="Hyperlink"/>
    <w:rsid w:val="00856037"/>
    <w:rPr>
      <w:color w:val="0000FF"/>
      <w:u w:val="single"/>
    </w:rPr>
  </w:style>
  <w:style w:type="paragraph" w:styleId="Header">
    <w:name w:val="header"/>
    <w:basedOn w:val="Normal"/>
    <w:rsid w:val="006F5E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E0B"/>
  </w:style>
  <w:style w:type="paragraph" w:styleId="Footer">
    <w:name w:val="footer"/>
    <w:basedOn w:val="Normal"/>
    <w:rsid w:val="006F5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F31DB2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florida.edu/academics/academic-support/sail/differences-hs-college.cfm" TargetMode="External"/><Relationship Id="rId13" Type="http://schemas.openxmlformats.org/officeDocument/2006/relationships/hyperlink" Target="http://www.easternflorida.edu/academics/elearning/testing-proctored-exams.cfm" TargetMode="External"/><Relationship Id="rId18" Type="http://schemas.openxmlformats.org/officeDocument/2006/relationships/hyperlink" Target="http://www.easternflorida.edu/our-campuses/campus-security/titleix-sexual-misconduc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asternflorida.edu/student-life/student-handbook/student-appeals.cfm" TargetMode="External"/><Relationship Id="rId12" Type="http://schemas.openxmlformats.org/officeDocument/2006/relationships/hyperlink" Target="http://www.easternflorida.edu/student-life/counseling-efscares/" TargetMode="External"/><Relationship Id="rId17" Type="http://schemas.openxmlformats.org/officeDocument/2006/relationships/hyperlink" Target="http://www.easternflorida.edu/student-life/student-handbook/health-safety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sternflorida.edu/admissions/financial-aid-scholarships/" TargetMode="External"/><Relationship Id="rId20" Type="http://schemas.openxmlformats.org/officeDocument/2006/relationships/hyperlink" Target="http://www.easternflorida.edu/academics/academic-support/sai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ternflorida.edu/documents/covid19-syllabus-statement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asternflorida.edu/admissions/registrars-office/ferpa-privacy-act-info/student-ferpa-info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asternflorida.edu/covid-tracking/" TargetMode="External"/><Relationship Id="rId19" Type="http://schemas.openxmlformats.org/officeDocument/2006/relationships/hyperlink" Target="http://www.easternflorida.edu/admissions/registrars-office/academic-standing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ernflorida.edu/administration-departments/it/computer-labs.cfm" TargetMode="External"/><Relationship Id="rId14" Type="http://schemas.openxmlformats.org/officeDocument/2006/relationships/hyperlink" Target="http://www.easternflorida.edu/admissions/registrars-office/attendance.cf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COMMUNITY COLLEGE</vt:lpstr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COMMUNITY COLLEGE</dc:title>
  <dc:subject/>
  <dc:creator>Doug</dc:creator>
  <cp:keywords/>
  <dc:description/>
  <cp:lastModifiedBy>Jones</cp:lastModifiedBy>
  <cp:revision>7</cp:revision>
  <cp:lastPrinted>2008-07-11T20:01:00Z</cp:lastPrinted>
  <dcterms:created xsi:type="dcterms:W3CDTF">2021-01-17T19:43:00Z</dcterms:created>
  <dcterms:modified xsi:type="dcterms:W3CDTF">2021-01-17T21:55:00Z</dcterms:modified>
</cp:coreProperties>
</file>